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Remote Work Policy — Employee Handbook Excerpt</w:t>
      </w:r>
    </w:p>
    <w:p>
      <w:pPr>
        <w:pStyle w:val="Heading2"/>
      </w:pPr>
      <w:r>
        <w:t>Section 4.2: Working Hours and Availability</w:t>
      </w:r>
    </w:p>
    <w:p>
      <w:r>
        <w:t>All remote employees are expected to maintain core collaboration hours between 10:00 AM and 3:00 PM in their local time zone. Outside of these core hours, employees may arrange their schedule freely, provided that all deliverables are completed on time.</w:t>
      </w:r>
    </w:p>
    <w:p>
      <w:r>
        <w:t>Employees who need to be unavailable during core hours for a medical appointment, family obligation, or other personal matter should notify their manager and update their calendar in advance whenever possible.</w:t>
      </w:r>
    </w:p>
    <w:p>
      <w:pPr>
        <w:pStyle w:val="Heading2"/>
      </w:pPr>
      <w:r>
        <w:t>Section 4.3: Communication Expectations</w:t>
      </w:r>
    </w:p>
    <w:p>
      <w:r>
        <w:t>We operate on an async-first basis. Written updates in the team channel are preferred over meetings whenever a decision does not require real-time discussion. Response times of up to one business day are considered acceptable for non-urgent messages.</w:t>
      </w:r>
    </w:p>
    <w:p>
      <w:r>
        <w:t>For anything requiring same-day attention, employees should mark the message as urgent and, if appropriate, follow up with a direct message rather than waiting for the recipient to check the channel.</w:t>
      </w:r>
    </w:p>
    <w:p>
      <w:pPr>
        <w:pStyle w:val="Heading2"/>
      </w:pPr>
      <w:r>
        <w:t>Section 4.4: Equipment and Reimbursement</w:t>
      </w:r>
    </w:p>
    <w:p>
      <w:r>
        <w:t>New remote employees receive a one-time stipend of $500 to set up their home office. Company-issued laptops are refreshed every three years. Requests for additional equipment should be submitted through the standard IT request form and will be reviewed by the employee's manager within five business days.</w:t>
      </w:r>
    </w:p>
    <w:p>
      <w:r>
        <w:rPr>
          <w:color w:val="888888"/>
          <w:sz w:val="18"/>
        </w:rPr>
        <w:t>Page 12 of 34 - Internal Use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